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On</w:t>
      </w:r>
      <w:r>
        <w:t xml:space="preserve"> </w:t>
      </w:r>
      <w:r>
        <w:t xml:space="preserve">CaST</w:t>
      </w:r>
      <w:r>
        <w:t xml:space="preserve"> </w:t>
      </w:r>
      <w:r>
        <w:t xml:space="preserve">Writing</w:t>
      </w:r>
    </w:p>
    <w:p>
      <w:pPr>
        <w:pStyle w:val="Date"/>
      </w:pPr>
      <w:r>
        <w:t xml:space="preserve">19</w:t>
      </w:r>
      <w:r>
        <w:t xml:space="preserve"> </w:t>
      </w:r>
      <w:r>
        <w:t xml:space="preserve">February</w:t>
      </w:r>
      <w:r>
        <w:t xml:space="preserve"> </w:t>
      </w:r>
      <w:r>
        <w:t xml:space="preserve">2018</w:t>
      </w:r>
    </w:p>
    <w:p>
      <w:pPr>
        <w:pStyle w:val="Compact"/>
        <w:pStyle w:val="Abstract"/>
      </w:pPr>
      <w:r>
        <w:t xml:space="preserve">The</w:t>
      </w:r>
      <w:r>
        <w:t xml:space="preserve"> </w:t>
      </w:r>
      <w:r>
        <w:t xml:space="preserve">abstract</w:t>
      </w:r>
      <w:r>
        <w:t xml:space="preserve"> </w:t>
      </w:r>
      <w:r>
        <w:t xml:space="preserve">is</w:t>
      </w:r>
      <w:r>
        <w:t xml:space="preserve"> </w:t>
      </w:r>
      <w:r>
        <w:t xml:space="preserve">always</w:t>
      </w:r>
      <w:r>
        <w:t xml:space="preserve"> </w:t>
      </w:r>
      <w:r>
        <w:t xml:space="preserve">written</w:t>
      </w:r>
      <w:r>
        <w:t xml:space="preserve"> </w:t>
      </w:r>
      <w:r>
        <w:t xml:space="preserve">at</w:t>
      </w:r>
      <w:r>
        <w:t xml:space="preserve"> </w:t>
      </w:r>
      <w:r>
        <w:t xml:space="preserve">the</w:t>
      </w:r>
      <w:r>
        <w:t xml:space="preserve"> </w:t>
      </w:r>
      <w:r>
        <w:t xml:space="preserve">end.</w:t>
      </w:r>
    </w:p>
    <w:p>
      <w:pPr>
        <w:pStyle w:val="FirstParagraph"/>
      </w:pPr>
      <w:r>
        <w:rPr>
          <w:b/>
        </w:rPr>
        <w:t xml:space="preserve">THE EUROPEAN DATA PROTECTION SUPERVISOR,</w:t>
      </w:r>
    </w:p>
    <w:p>
      <w:pPr>
        <w:pStyle w:val="BodyText"/>
      </w:pPr>
      <w:r>
        <w:t xml:space="preserve">Having regard to the Treaty on the Functioning of the European Union, and in particular Article 16 thereof,</w:t>
      </w:r>
    </w:p>
    <w:p>
      <w:pPr>
        <w:pStyle w:val="BodyText"/>
      </w:pPr>
      <w:r>
        <w:t xml:space="preserve">Having regard to the Charter of Fundamental Rights of the European Union, and in particular Articles 7 and 8 thereof, Having regard to Directive 95/46/EC of the European Parliament and of the Council of 24 October 1995 on the protection of individuals with regard to the processing of personal data and on the free movement of such data</w:t>
      </w:r>
      <w:r>
        <w:rPr>
          <w:rStyle w:val="FootnoteReference"/>
        </w:rPr>
        <w:footnoteReference w:id="21"/>
      </w:r>
      <w:r>
        <w:t xml:space="preserve">, and to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Style w:val="FootnoteReference"/>
        </w:rPr>
        <w:footnoteReference w:id="22"/>
      </w:r>
      <w:r>
        <w:t xml:space="preserve">,</w:t>
      </w:r>
    </w:p>
    <w:p>
      <w:pPr>
        <w:pStyle w:val="BodyText"/>
      </w:pPr>
      <w:r>
        <w:t xml:space="preserve">Having regard to Regulation (EC) No 45/2001 of the European Parliament and of the Council of 18 December 2000 on the protection of individuals with regard to the processing of personal data by the Community institutions and bodies and on the free movement of such data</w:t>
      </w:r>
      <w:r>
        <w:rPr>
          <w:rStyle w:val="FootnoteReference"/>
        </w:rPr>
        <w:footnoteReference w:id="23"/>
      </w:r>
      <w:r>
        <w:t xml:space="preserve">, and in particular Articles 28(2), 41(2) and 46(d) thereof,</w:t>
      </w:r>
    </w:p>
    <w:p>
      <w:pPr>
        <w:pStyle w:val="BodyText"/>
      </w:pPr>
      <w:r>
        <w:rPr>
          <w:b/>
        </w:rPr>
        <w:t xml:space="preserve">HAS ADOPTED THE FOLLOWING OPINION:</w:t>
      </w:r>
    </w:p>
    <w:p>
      <w:pPr>
        <w:pStyle w:val="Heading1"/>
      </w:pPr>
      <w:bookmarkStart w:id="24" w:name="introduction-and-background"/>
      <w:r>
        <w:t xml:space="preserve">Introduction and Background</w:t>
      </w:r>
      <w:bookmarkEnd w:id="24"/>
    </w:p>
    <w:p>
      <w:pPr>
        <w:pStyle w:val="FirstParagraph"/>
      </w:pPr>
      <w:r>
        <w:t xml:space="preserve">Lorem ipsum dolor sit amet, consectetur adipisicing elit, sed do eiusmod tempor incididunt ut labore et dolore magna aliqua. Ut enim ad minim veniam, quis nostrud</w:t>
      </w:r>
      <w:r>
        <w:rPr>
          <w:rStyle w:val="FootnoteReference"/>
        </w:rPr>
        <w:footnoteReference w:id="25"/>
      </w:r>
      <w:r>
        <w:t xml:space="preserve"> </w:t>
      </w:r>
      <w:r>
        <w:t xml:space="preserve">exercitation ullamco laboris nisi ut aliquip ex ea commodo consequat. Duis aute irure dolor in reprehenderit in voluptate velit esse cillum dolore eu fugiat nulla pariatur. Excepteur sint occaecat cupidatat</w:t>
      </w:r>
      <w:r>
        <w:rPr>
          <w:rStyle w:val="FootnoteReference"/>
        </w:rPr>
        <w:footnoteReference w:id="26"/>
      </w:r>
      <w:r>
        <w:t xml:space="preserve"> </w:t>
      </w:r>
      <w:r>
        <w:t xml:space="preserve">non proident, sunt in</w:t>
      </w:r>
      <w:r>
        <w:rPr>
          <w:rStyle w:val="FootnoteReference"/>
        </w:rPr>
        <w:footnoteReference w:id="27"/>
      </w:r>
      <w:r>
        <w:t xml:space="preserve"> </w:t>
      </w:r>
      <w:r>
        <w:t xml:space="preserve">culpa qui officia</w:t>
      </w:r>
      <w:r>
        <w:rPr>
          <w:rStyle w:val="FootnoteReference"/>
        </w:rPr>
        <w:footnoteReference w:id="29"/>
      </w:r>
      <w:r>
        <w:t xml:space="preserve"> </w:t>
      </w:r>
      <w:r>
        <w:t xml:space="preserve">deserunt mollit anim id est laborum.</w:t>
      </w:r>
    </w:p>
    <w:p>
      <w:pPr>
        <w:pStyle w:val="Heading1"/>
      </w:pPr>
      <w:bookmarkStart w:id="30" w:name="legal-considerations"/>
      <w:r>
        <w:t xml:space="preserve">Legal Considerations</w:t>
      </w:r>
      <w:bookmarkEnd w:id="30"/>
    </w:p>
    <w:p>
      <w:pPr>
        <w:pStyle w:val="FirstParagraph"/>
      </w:pPr>
      <w: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pStyle w:val="Heading2"/>
      </w:pPr>
      <w:bookmarkStart w:id="31" w:name="data-protection-obligations"/>
      <w:r>
        <w:t xml:space="preserve">Data Protection Obligations</w:t>
      </w:r>
      <w:bookmarkEnd w:id="31"/>
    </w:p>
    <w:p>
      <w:pPr>
        <w:pStyle w:val="Heading2"/>
      </w:pPr>
      <w:bookmarkStart w:id="32" w:name="proportionality"/>
      <w:r>
        <w:t xml:space="preserve">Proportionality</w:t>
      </w:r>
      <w:bookmarkEnd w:id="32"/>
    </w:p>
    <w:p>
      <w:pPr>
        <w:pStyle w:val="FirstParagraph"/>
      </w:pPr>
      <w:r>
        <w:t xml:space="preserve">Some last sentence.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ootnoteText"/>
      </w:pPr>
      <w:r>
        <w:rPr>
          <w:rStyle w:val="FootnoteReference"/>
        </w:rPr>
        <w:footnoteRef/>
      </w:r>
      <w:r>
        <w:t xml:space="preserve"> </w:t>
      </w:r>
      <w:r>
        <w:t xml:space="preserve">Directive 95/46/EC of the European Parliament and of the Council of 24 October 1995 on the protection of individuals with regard to the processing of personal data and on the free movement of such data 1995 (OJ) 31.</w:t>
      </w:r>
    </w:p>
  </w:footnote>
  <w:footnote w:id="22">
    <w:p>
      <w:pPr>
        <w:pStyle w:val="FootnoteText"/>
      </w:pPr>
      <w:r>
        <w:rPr>
          <w:rStyle w:val="FootnoteReference"/>
        </w:rPr>
        <w:footnoteRef/>
      </w:r>
      <w:r>
        <w:t xml:space="preserve"> </w:t>
      </w:r>
      <w: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2016 (OJ) 1.</w:t>
      </w:r>
    </w:p>
  </w:footnote>
  <w:footnote w:id="23">
    <w:p>
      <w:pPr>
        <w:pStyle w:val="FootnoteText"/>
      </w:pPr>
      <w:r>
        <w:rPr>
          <w:rStyle w:val="FootnoteReference"/>
        </w:rPr>
        <w:footnoteRef/>
      </w:r>
      <w:r>
        <w:t xml:space="preserve"> </w:t>
      </w:r>
      <w:r>
        <w:t xml:space="preserve">Regulation (EC) No 45/2001 of the European Parliament and of the Council of 18 December 2000 on the protection of individuals with regard to the processing of personal data by the Community institutions and bodies and on the free movement of such data 2001 (OJ) 1.</w:t>
      </w:r>
    </w:p>
  </w:footnote>
  <w:footnote w:id="25">
    <w:p>
      <w:pPr>
        <w:pStyle w:val="FootnoteText"/>
      </w:pPr>
      <w:r>
        <w:rPr>
          <w:rStyle w:val="FootnoteReference"/>
        </w:rPr>
        <w:footnoteRef/>
      </w:r>
      <w:r>
        <w:t xml:space="preserve"> </w:t>
      </w:r>
      <w:r>
        <w:t xml:space="preserve">GDPR, Art. 2.</w:t>
      </w:r>
    </w:p>
  </w:footnote>
  <w:footnote w:id="26">
    <w:p>
      <w:pPr>
        <w:pStyle w:val="FootnoteText"/>
      </w:pPr>
      <w:r>
        <w:rPr>
          <w:rStyle w:val="FootnoteReference"/>
        </w:rPr>
        <w:footnoteRef/>
      </w:r>
      <w:r>
        <w:t xml:space="preserve"> </w:t>
      </w:r>
      <w:r>
        <w:t xml:space="preserve">Ibid, Art. 3.</w:t>
      </w:r>
    </w:p>
  </w:footnote>
  <w:footnote w:id="27">
    <w:p>
      <w:pPr>
        <w:pStyle w:val="FootnoteText"/>
      </w:pPr>
      <w:r>
        <w:rPr>
          <w:rStyle w:val="FootnoteReference"/>
        </w:rPr>
        <w:footnoteRef/>
      </w:r>
      <w:r>
        <w:t xml:space="preserve"> </w:t>
      </w:r>
      <w:r>
        <w:rPr>
          <w:i/>
        </w:rPr>
        <w:t xml:space="preserve">Wireshark</w:t>
      </w:r>
      <w:r>
        <w:t xml:space="preserve"> </w:t>
      </w:r>
      <w:r>
        <w:t xml:space="preserve">&lt;</w:t>
      </w:r>
      <w:hyperlink r:id="rId28">
        <w:r>
          <w:rPr>
            <w:rStyle w:val="Hyperlink"/>
          </w:rPr>
          <w:t xml:space="preserve">https://www.wireshark.org/</w:t>
        </w:r>
      </w:hyperlink>
      <w:r>
        <w:t xml:space="preserve">&gt; accessed 11 January 2018.</w:t>
      </w:r>
    </w:p>
  </w:footnote>
  <w:footnote w:id="29">
    <w:p>
      <w:pPr>
        <w:pStyle w:val="FootnoteText"/>
      </w:pPr>
      <w:r>
        <w:rPr>
          <w:rStyle w:val="FootnoteReference"/>
        </w:rPr>
        <w:footnoteRef/>
      </w:r>
      <w:r>
        <w:t xml:space="preserve"> </w:t>
      </w:r>
      <w:r>
        <w:t xml:space="preserve">GDPR, Art. 4.</w:t>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5b1eb00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8" Target="https://www.wireshark.org/" TargetMode="External" /></Relationships>
</file>

<file path=word/_rels/footnotes.xml.rels><?xml version="1.0" encoding="UTF-8"?>
<Relationships xmlns="http://schemas.openxmlformats.org/package/2006/relationships"><Relationship Type="http://schemas.openxmlformats.org/officeDocument/2006/relationships/hyperlink" Id="rId28" Target="https://www.wireshark.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CaST Writing</dc:title>
  <dc:creator/>
  <cp:keywords/>
  <dcterms:created xsi:type="dcterms:W3CDTF">2018-02-18T23:42:22Z</dcterms:created>
  <dcterms:modified xsi:type="dcterms:W3CDTF">2018-02-18T23:42:22Z</dcterms:modified>
</cp:coreProperties>
</file>